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21" w:type="dxa"/>
        <w:tblLayout w:type="fixed"/>
        <w:tblLook w:val="0000" w:firstRow="0" w:lastRow="0" w:firstColumn="0" w:lastColumn="0" w:noHBand="0" w:noVBand="0"/>
      </w:tblPr>
      <w:tblGrid>
        <w:gridCol w:w="4585"/>
        <w:gridCol w:w="5236"/>
      </w:tblGrid>
      <w:tr w:rsidR="000F0589" w14:paraId="1FB75F0D" w14:textId="77777777" w:rsidTr="008F7B1A">
        <w:trPr>
          <w:trHeight w:val="1094"/>
        </w:trPr>
        <w:tc>
          <w:tcPr>
            <w:tcW w:w="9821" w:type="dxa"/>
            <w:gridSpan w:val="2"/>
          </w:tcPr>
          <w:p w14:paraId="3613DEFB" w14:textId="7A4D0B88" w:rsidR="000F0589" w:rsidRDefault="000F0589" w:rsidP="000F058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Client Service Plan – 6 Adoption Services</w:t>
            </w:r>
          </w:p>
          <w:p w14:paraId="0BE4FA16" w14:textId="77777777" w:rsidR="008F7B1A" w:rsidRDefault="008F7B1A" w:rsidP="000F0589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35E1708" w14:textId="371B17D2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Prospective Adoptive Parent(s) (PAP): </w:t>
            </w:r>
          </w:p>
          <w:p w14:paraId="3BA64B33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Country: India </w:t>
            </w:r>
          </w:p>
          <w:p w14:paraId="759FAD54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Primary Provider (PP): The Barker Adoption Foundation </w:t>
            </w:r>
          </w:p>
          <w:p w14:paraId="09C96C80" w14:textId="28AC1570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Social Worker/Home Study Agency (Exempt Provider): </w:t>
            </w:r>
          </w:p>
          <w:p w14:paraId="0F541D14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Supervised Provider in US (SP): None </w:t>
            </w:r>
          </w:p>
          <w:p w14:paraId="28EC530C" w14:textId="5034148B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Foreign Supervised </w:t>
            </w:r>
            <w:proofErr w:type="gramStart"/>
            <w:r>
              <w:rPr>
                <w:b/>
                <w:bCs/>
                <w:sz w:val="23"/>
                <w:szCs w:val="23"/>
              </w:rPr>
              <w:t>Provider(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FSP): </w:t>
            </w:r>
            <w:proofErr w:type="spellStart"/>
            <w:r>
              <w:rPr>
                <w:b/>
                <w:bCs/>
                <w:sz w:val="23"/>
                <w:szCs w:val="23"/>
              </w:rPr>
              <w:t>Susanta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Chakraborty </w:t>
            </w:r>
          </w:p>
          <w:p w14:paraId="087DCDE1" w14:textId="77777777" w:rsidR="000F0589" w:rsidRDefault="000F058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Foreign Central Authority (FCA): Central Adoption Resource Authority (CARA) </w:t>
            </w:r>
          </w:p>
          <w:p w14:paraId="0D3AB17A" w14:textId="77777777" w:rsidR="008F7B1A" w:rsidRDefault="008F7B1A">
            <w:pPr>
              <w:pStyle w:val="Default"/>
              <w:rPr>
                <w:sz w:val="23"/>
                <w:szCs w:val="23"/>
              </w:rPr>
            </w:pPr>
          </w:p>
        </w:tc>
      </w:tr>
      <w:tr w:rsidR="000F0589" w14:paraId="094E13CF" w14:textId="77777777" w:rsidTr="00B06DB1">
        <w:trPr>
          <w:trHeight w:val="99"/>
        </w:trPr>
        <w:tc>
          <w:tcPr>
            <w:tcW w:w="4585" w:type="dxa"/>
          </w:tcPr>
          <w:p w14:paraId="58C6455F" w14:textId="77777777" w:rsidR="000F0589" w:rsidRDefault="000F05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Adoption Services </w:t>
            </w:r>
          </w:p>
        </w:tc>
        <w:tc>
          <w:tcPr>
            <w:tcW w:w="5236" w:type="dxa"/>
          </w:tcPr>
          <w:p w14:paraId="49602A93" w14:textId="77777777" w:rsidR="000F0589" w:rsidRDefault="000F05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Who is Providing the Service </w:t>
            </w:r>
          </w:p>
        </w:tc>
      </w:tr>
      <w:tr w:rsidR="000F0589" w14:paraId="5CEDD20A" w14:textId="77777777" w:rsidTr="00B06DB1">
        <w:trPr>
          <w:trHeight w:val="359"/>
        </w:trPr>
        <w:tc>
          <w:tcPr>
            <w:tcW w:w="4585" w:type="dxa"/>
          </w:tcPr>
          <w:p w14:paraId="135AADD7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Identifying a child for adoption and arranging an adoption </w:t>
            </w:r>
          </w:p>
        </w:tc>
        <w:tc>
          <w:tcPr>
            <w:tcW w:w="5236" w:type="dxa"/>
          </w:tcPr>
          <w:p w14:paraId="18CBC914" w14:textId="23255295" w:rsidR="000F0589" w:rsidRDefault="000F05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 and local government authority (Child Welfare Committee) identify children for adoption and CARA arranges the adoption. Barker and </w:t>
            </w:r>
            <w:proofErr w:type="spellStart"/>
            <w:r>
              <w:rPr>
                <w:sz w:val="22"/>
                <w:szCs w:val="22"/>
              </w:rPr>
              <w:t>Susanta</w:t>
            </w:r>
            <w:proofErr w:type="spellEnd"/>
            <w:r>
              <w:rPr>
                <w:sz w:val="22"/>
                <w:szCs w:val="22"/>
              </w:rPr>
              <w:t xml:space="preserve"> Chakraborty</w:t>
            </w:r>
            <w:r w:rsidR="00C25606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arrange</w:t>
            </w:r>
            <w:proofErr w:type="gramEnd"/>
            <w:r>
              <w:rPr>
                <w:sz w:val="22"/>
                <w:szCs w:val="22"/>
              </w:rPr>
              <w:t xml:space="preserve"> the adoption. </w:t>
            </w:r>
          </w:p>
        </w:tc>
      </w:tr>
      <w:tr w:rsidR="000F0589" w14:paraId="3D9A397C" w14:textId="77777777" w:rsidTr="00B06DB1">
        <w:trPr>
          <w:trHeight w:val="358"/>
        </w:trPr>
        <w:tc>
          <w:tcPr>
            <w:tcW w:w="4585" w:type="dxa"/>
          </w:tcPr>
          <w:p w14:paraId="2A9FB84E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Securing the necessary consent to termination of parental rights and to adoption </w:t>
            </w:r>
          </w:p>
        </w:tc>
        <w:tc>
          <w:tcPr>
            <w:tcW w:w="5236" w:type="dxa"/>
          </w:tcPr>
          <w:p w14:paraId="4C6E46AD" w14:textId="77777777" w:rsidR="000F0589" w:rsidRDefault="000F05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 and local government authority (Child Welfare Committee) secure the necessary consent to termination of parental rights and to adoption </w:t>
            </w:r>
          </w:p>
        </w:tc>
      </w:tr>
      <w:tr w:rsidR="000F0589" w14:paraId="3D00B5F4" w14:textId="77777777" w:rsidTr="00B06DB1">
        <w:trPr>
          <w:trHeight w:val="1649"/>
        </w:trPr>
        <w:tc>
          <w:tcPr>
            <w:tcW w:w="4585" w:type="dxa"/>
          </w:tcPr>
          <w:p w14:paraId="609C0D55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Performing a background study on a child or a home study on prospective adoptive parent(s), and reporting on such a study </w:t>
            </w:r>
          </w:p>
        </w:tc>
        <w:tc>
          <w:tcPr>
            <w:tcW w:w="5236" w:type="dxa"/>
          </w:tcPr>
          <w:p w14:paraId="0CA1FA01" w14:textId="69DDF63E" w:rsidR="000F0589" w:rsidRDefault="000F05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child study is provided and reported on by CARA in conjunction with a local government-run orphanage. </w:t>
            </w:r>
            <w:proofErr w:type="spellStart"/>
            <w:r>
              <w:rPr>
                <w:sz w:val="22"/>
                <w:szCs w:val="22"/>
              </w:rPr>
              <w:t>Susanta</w:t>
            </w:r>
            <w:proofErr w:type="spellEnd"/>
            <w:r>
              <w:rPr>
                <w:sz w:val="22"/>
                <w:szCs w:val="22"/>
              </w:rPr>
              <w:t xml:space="preserve"> Chakraborty may also support the provision of this service through obtaining additional information on </w:t>
            </w:r>
            <w:proofErr w:type="gramStart"/>
            <w:r>
              <w:rPr>
                <w:sz w:val="22"/>
                <w:szCs w:val="22"/>
              </w:rPr>
              <w:t>child</w:t>
            </w:r>
            <w:proofErr w:type="gramEnd"/>
            <w:r>
              <w:rPr>
                <w:sz w:val="22"/>
                <w:szCs w:val="22"/>
              </w:rPr>
              <w:t xml:space="preserve"> from CARA or its designated authority per Barker’s request and translate the information as needed. The home study will be conducted and reported on by a Barker staff member if PAPs reside in a Barker licensed state. If PAPs do not reside in a Barker licensed state, the home study will be completed by a home study agency licensed in your state.  </w:t>
            </w:r>
          </w:p>
        </w:tc>
      </w:tr>
      <w:tr w:rsidR="000F0589" w14:paraId="00E3DA2D" w14:textId="77777777" w:rsidTr="00B06DB1">
        <w:trPr>
          <w:trHeight w:val="617"/>
        </w:trPr>
        <w:tc>
          <w:tcPr>
            <w:tcW w:w="4585" w:type="dxa"/>
          </w:tcPr>
          <w:p w14:paraId="5F513751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Making non-judicial determinations of the best interests of a child and the appropriateness of an adoptive placement for the child </w:t>
            </w:r>
          </w:p>
        </w:tc>
        <w:tc>
          <w:tcPr>
            <w:tcW w:w="5236" w:type="dxa"/>
          </w:tcPr>
          <w:p w14:paraId="49C40AEC" w14:textId="677D9B93" w:rsidR="000F0589" w:rsidRDefault="000F05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 makes official referrals to families through Barker. Barker</w:t>
            </w:r>
            <w:r w:rsidR="0004078F">
              <w:rPr>
                <w:sz w:val="22"/>
                <w:szCs w:val="22"/>
              </w:rPr>
              <w:t xml:space="preserve"> or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Susanta</w:t>
            </w:r>
            <w:proofErr w:type="spellEnd"/>
            <w:r>
              <w:rPr>
                <w:sz w:val="22"/>
                <w:szCs w:val="22"/>
              </w:rPr>
              <w:t xml:space="preserve"> Chakraborty may make a preliminary match for a home study approved family under CARA’s guidelines through the Waiting Child Program and submit it to CARA for review and approval. </w:t>
            </w:r>
          </w:p>
        </w:tc>
      </w:tr>
      <w:tr w:rsidR="000F0589" w14:paraId="2F26E08F" w14:textId="77777777" w:rsidTr="00B06DB1">
        <w:trPr>
          <w:trHeight w:val="875"/>
        </w:trPr>
        <w:tc>
          <w:tcPr>
            <w:tcW w:w="4585" w:type="dxa"/>
          </w:tcPr>
          <w:p w14:paraId="4035AD0A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Monitoring a case after a child has been placed with prospective adoptive parents until final adoption </w:t>
            </w:r>
          </w:p>
        </w:tc>
        <w:tc>
          <w:tcPr>
            <w:tcW w:w="5236" w:type="dxa"/>
          </w:tcPr>
          <w:p w14:paraId="663C376B" w14:textId="63A4A85D" w:rsidR="000F0589" w:rsidRDefault="000F05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Majority of families travel for placement after the adoption is finalized through </w:t>
            </w:r>
            <w:proofErr w:type="gramStart"/>
            <w:r>
              <w:rPr>
                <w:sz w:val="22"/>
                <w:szCs w:val="22"/>
              </w:rPr>
              <w:t>court</w:t>
            </w:r>
            <w:proofErr w:type="gramEnd"/>
            <w:r>
              <w:rPr>
                <w:sz w:val="22"/>
                <w:szCs w:val="22"/>
              </w:rPr>
              <w:t xml:space="preserve"> or district magistrate and all documents are ready. Occasionally, a family takes custody of their child after CARA issues NOC as allowed per CARA and USDOS guidelines. In these cases, CARA, local government authority, government-run orphanage, Barker, </w:t>
            </w:r>
            <w:r w:rsidR="0004078F">
              <w:rPr>
                <w:sz w:val="22"/>
                <w:szCs w:val="22"/>
              </w:rPr>
              <w:t xml:space="preserve">or </w:t>
            </w:r>
            <w:proofErr w:type="spellStart"/>
            <w:r>
              <w:rPr>
                <w:sz w:val="22"/>
                <w:szCs w:val="22"/>
              </w:rPr>
              <w:t>Susanta</w:t>
            </w:r>
            <w:proofErr w:type="spellEnd"/>
            <w:r>
              <w:rPr>
                <w:sz w:val="22"/>
                <w:szCs w:val="22"/>
              </w:rPr>
              <w:t xml:space="preserve"> Chakraborty may all play a role in </w:t>
            </w:r>
            <w:proofErr w:type="gramStart"/>
            <w:r>
              <w:rPr>
                <w:sz w:val="22"/>
                <w:szCs w:val="22"/>
              </w:rPr>
              <w:t>the monitoring of</w:t>
            </w:r>
            <w:proofErr w:type="gramEnd"/>
            <w:r>
              <w:rPr>
                <w:sz w:val="22"/>
                <w:szCs w:val="22"/>
              </w:rPr>
              <w:t xml:space="preserve"> the placement. </w:t>
            </w:r>
          </w:p>
        </w:tc>
      </w:tr>
      <w:tr w:rsidR="000F0589" w14:paraId="617BA7DC" w14:textId="77777777" w:rsidTr="00B06DB1">
        <w:trPr>
          <w:trHeight w:val="677"/>
        </w:trPr>
        <w:tc>
          <w:tcPr>
            <w:tcW w:w="4585" w:type="dxa"/>
          </w:tcPr>
          <w:p w14:paraId="01819BE1" w14:textId="77777777" w:rsidR="000F0589" w:rsidRDefault="000F05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When </w:t>
            </w:r>
            <w:proofErr w:type="gramStart"/>
            <w:r>
              <w:rPr>
                <w:sz w:val="23"/>
                <w:szCs w:val="23"/>
              </w:rPr>
              <w:t>necessary</w:t>
            </w:r>
            <w:proofErr w:type="gramEnd"/>
            <w:r>
              <w:rPr>
                <w:sz w:val="23"/>
                <w:szCs w:val="23"/>
              </w:rPr>
              <w:t xml:space="preserve"> because of a disruption before final adoption, assuming custody of a child and providing or facilitating the provision of childcare or any other social service pending an alternative placement </w:t>
            </w:r>
          </w:p>
        </w:tc>
        <w:tc>
          <w:tcPr>
            <w:tcW w:w="5236" w:type="dxa"/>
          </w:tcPr>
          <w:p w14:paraId="6445B69E" w14:textId="34872242" w:rsidR="000F0589" w:rsidRDefault="000F05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a disruption situation, the government-run orphanage will assume custody of the child with the approval from CARA and local government authority. Barker and </w:t>
            </w:r>
            <w:proofErr w:type="spellStart"/>
            <w:r>
              <w:rPr>
                <w:sz w:val="22"/>
                <w:szCs w:val="22"/>
              </w:rPr>
              <w:t>Susanta</w:t>
            </w:r>
            <w:proofErr w:type="spellEnd"/>
            <w:r>
              <w:rPr>
                <w:sz w:val="22"/>
                <w:szCs w:val="22"/>
              </w:rPr>
              <w:t xml:space="preserve"> Chakraborty will be available to family for support and coordination, as needed. </w:t>
            </w:r>
          </w:p>
        </w:tc>
      </w:tr>
    </w:tbl>
    <w:p w14:paraId="5FE38DC5" w14:textId="77777777" w:rsidR="000F0589" w:rsidRDefault="000F0589"/>
    <w:sectPr w:rsidR="000F058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51309" w14:textId="77777777" w:rsidR="00DA02A9" w:rsidRDefault="00DA02A9" w:rsidP="00DA02A9">
      <w:pPr>
        <w:spacing w:after="0" w:line="240" w:lineRule="auto"/>
      </w:pPr>
      <w:r>
        <w:separator/>
      </w:r>
    </w:p>
  </w:endnote>
  <w:endnote w:type="continuationSeparator" w:id="0">
    <w:p w14:paraId="64D0F598" w14:textId="77777777" w:rsidR="00DA02A9" w:rsidRDefault="00DA02A9" w:rsidP="00DA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43D50" w14:textId="72DAD541" w:rsidR="00DA02A9" w:rsidRDefault="00DA02A9">
    <w:pPr>
      <w:pStyle w:val="Footer"/>
    </w:pPr>
    <w:r>
      <w:t xml:space="preserve">Updated </w:t>
    </w:r>
    <w:r w:rsidR="008F7B1A">
      <w:t>01/01/2025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8BBA" w14:textId="77777777" w:rsidR="00DA02A9" w:rsidRDefault="00DA02A9" w:rsidP="00DA02A9">
      <w:pPr>
        <w:spacing w:after="0" w:line="240" w:lineRule="auto"/>
      </w:pPr>
      <w:r>
        <w:separator/>
      </w:r>
    </w:p>
  </w:footnote>
  <w:footnote w:type="continuationSeparator" w:id="0">
    <w:p w14:paraId="5B3AA0CD" w14:textId="77777777" w:rsidR="00DA02A9" w:rsidRDefault="00DA02A9" w:rsidP="00DA0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89"/>
    <w:rsid w:val="0004078F"/>
    <w:rsid w:val="000F0589"/>
    <w:rsid w:val="0031075B"/>
    <w:rsid w:val="004618A3"/>
    <w:rsid w:val="00557607"/>
    <w:rsid w:val="008F7B1A"/>
    <w:rsid w:val="00AB3EF7"/>
    <w:rsid w:val="00B06DB1"/>
    <w:rsid w:val="00C07181"/>
    <w:rsid w:val="00C25606"/>
    <w:rsid w:val="00D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5A9E"/>
  <w15:chartTrackingRefBased/>
  <w15:docId w15:val="{AA657875-47B5-4814-81B6-C5BBC2A4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2A9"/>
  </w:style>
  <w:style w:type="paragraph" w:styleId="Footer">
    <w:name w:val="footer"/>
    <w:basedOn w:val="Normal"/>
    <w:link w:val="FooterChar"/>
    <w:uiPriority w:val="99"/>
    <w:unhideWhenUsed/>
    <w:rsid w:val="00DA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2A9"/>
  </w:style>
  <w:style w:type="table" w:styleId="TableGrid">
    <w:name w:val="Table Grid"/>
    <w:basedOn w:val="TableNormal"/>
    <w:uiPriority w:val="39"/>
    <w:rsid w:val="008F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C. Marshall</dc:creator>
  <cp:keywords/>
  <dc:description/>
  <cp:lastModifiedBy>Emily C. Marshall</cp:lastModifiedBy>
  <cp:revision>2</cp:revision>
  <cp:lastPrinted>2023-08-11T14:26:00Z</cp:lastPrinted>
  <dcterms:created xsi:type="dcterms:W3CDTF">2024-12-10T16:11:00Z</dcterms:created>
  <dcterms:modified xsi:type="dcterms:W3CDTF">2024-12-10T16:11:00Z</dcterms:modified>
</cp:coreProperties>
</file>